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CD2589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FOLLOW UP</w:t>
      </w:r>
      <w:r w:rsidR="00C968A1">
        <w:rPr>
          <w:b/>
          <w:bCs/>
          <w:sz w:val="32"/>
          <w:szCs w:val="26"/>
        </w:rPr>
        <w:t xml:space="preserve">, </w:t>
      </w:r>
      <w:r>
        <w:rPr>
          <w:b/>
          <w:bCs/>
          <w:sz w:val="32"/>
          <w:szCs w:val="26"/>
        </w:rPr>
        <w:t>Making the Process Our Own</w:t>
      </w:r>
    </w:p>
    <w:p w:rsidR="00630C21" w:rsidRPr="003809FC" w:rsidRDefault="00320346" w:rsidP="00630C21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Week of </w:t>
      </w:r>
      <w:r w:rsidR="00CD2589">
        <w:rPr>
          <w:b/>
          <w:bCs/>
        </w:rPr>
        <w:t>February 3-7</w:t>
      </w:r>
      <w:r w:rsidR="00A4414A">
        <w:rPr>
          <w:b/>
          <w:bCs/>
        </w:rPr>
        <w:t>, 2014</w:t>
      </w:r>
    </w:p>
    <w:p w:rsidR="00630C21" w:rsidRPr="005E3DA7" w:rsidRDefault="00C83C60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Region</w:t>
      </w:r>
      <w:r w:rsidR="003809FC">
        <w:rPr>
          <w:b/>
          <w:bCs/>
          <w:sz w:val="26"/>
          <w:szCs w:val="26"/>
        </w:rPr>
        <w:t xml:space="preserve"> Leadership</w:t>
      </w:r>
      <w:r w:rsidR="00803395">
        <w:rPr>
          <w:b/>
          <w:bCs/>
          <w:sz w:val="26"/>
          <w:szCs w:val="26"/>
        </w:rPr>
        <w:t xml:space="preserve"> Team</w:t>
      </w:r>
      <w:r>
        <w:rPr>
          <w:b/>
          <w:bCs/>
          <w:sz w:val="26"/>
          <w:szCs w:val="26"/>
        </w:rPr>
        <w:t>s</w:t>
      </w:r>
    </w:p>
    <w:p w:rsidR="0042514F" w:rsidRPr="003809FC" w:rsidRDefault="0042514F" w:rsidP="002A1BCA">
      <w:pPr>
        <w:spacing w:after="0" w:line="240" w:lineRule="auto"/>
        <w:jc w:val="center"/>
        <w:rPr>
          <w:b/>
          <w:bCs/>
          <w:sz w:val="16"/>
          <w:szCs w:val="16"/>
        </w:rPr>
      </w:pPr>
    </w:p>
    <w:p w:rsidR="00444E1D" w:rsidRPr="003809FC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3809FC">
        <w:rPr>
          <w:b/>
          <w:bCs/>
          <w:sz w:val="26"/>
          <w:szCs w:val="26"/>
        </w:rPr>
        <w:t>Guiding Question:</w:t>
      </w:r>
    </w:p>
    <w:p w:rsidR="0042514F" w:rsidRPr="003809FC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 xml:space="preserve">How </w:t>
      </w:r>
      <w:r w:rsidR="00803395" w:rsidRPr="003809FC">
        <w:rPr>
          <w:rFonts w:eastAsia="Times New Roman" w:cs="Times New Roman"/>
          <w:color w:val="000000"/>
        </w:rPr>
        <w:t>does the regular use of data to improve student learning and how might we, at the district-level, support buildings in their work to improve student learning?</w:t>
      </w:r>
    </w:p>
    <w:p w:rsidR="002E6A14" w:rsidRPr="003809FC" w:rsidRDefault="002E6A14" w:rsidP="00803395">
      <w:pPr>
        <w:spacing w:after="0" w:line="240" w:lineRule="auto"/>
        <w:rPr>
          <w:bCs/>
          <w:sz w:val="10"/>
          <w:szCs w:val="10"/>
        </w:rPr>
      </w:pPr>
    </w:p>
    <w:p w:rsidR="0042514F" w:rsidRPr="003809FC" w:rsidRDefault="00444E1D" w:rsidP="0042514F">
      <w:pPr>
        <w:spacing w:after="0"/>
        <w:rPr>
          <w:b/>
          <w:bCs/>
        </w:rPr>
      </w:pPr>
      <w:r w:rsidRPr="003809FC">
        <w:rPr>
          <w:b/>
          <w:bCs/>
        </w:rPr>
        <w:t>Long term target:</w:t>
      </w:r>
    </w:p>
    <w:p w:rsidR="0042514F" w:rsidRPr="003809FC" w:rsidRDefault="00803395" w:rsidP="0042514F">
      <w:pPr>
        <w:spacing w:after="0"/>
        <w:rPr>
          <w:rFonts w:eastAsia="Times New Roman" w:cs="Times New Roman"/>
          <w:color w:val="000000"/>
        </w:rPr>
      </w:pPr>
      <w:r w:rsidRPr="003809FC">
        <w:rPr>
          <w:rFonts w:eastAsia="Times New Roman" w:cs="Times New Roman"/>
          <w:color w:val="000000"/>
        </w:rPr>
        <w:t>Implement the regular use of data to improve student learning using the Data Wise process</w:t>
      </w:r>
    </w:p>
    <w:p w:rsidR="0042514F" w:rsidRPr="003809FC" w:rsidRDefault="0042514F" w:rsidP="0042514F">
      <w:pPr>
        <w:spacing w:after="0"/>
        <w:rPr>
          <w:b/>
          <w:bCs/>
          <w:sz w:val="10"/>
          <w:szCs w:val="10"/>
        </w:rPr>
      </w:pPr>
    </w:p>
    <w:p w:rsidR="00803395" w:rsidRPr="00AD5A80" w:rsidRDefault="00444E1D" w:rsidP="00803395">
      <w:pPr>
        <w:spacing w:after="0"/>
        <w:rPr>
          <w:rFonts w:asciiTheme="minorHAnsi" w:hAnsiTheme="minorHAnsi"/>
          <w:bCs/>
        </w:rPr>
      </w:pPr>
      <w:r w:rsidRPr="00AD5A80">
        <w:rPr>
          <w:rFonts w:asciiTheme="minorHAnsi" w:hAnsiTheme="minorHAnsi"/>
          <w:b/>
          <w:bCs/>
        </w:rPr>
        <w:t>Short term targets:</w:t>
      </w:r>
    </w:p>
    <w:p w:rsidR="00E430C9" w:rsidRPr="00E430C9" w:rsidRDefault="00E430C9" w:rsidP="00E430C9">
      <w:pPr>
        <w:pStyle w:val="ListParagraph"/>
        <w:numPr>
          <w:ilvl w:val="0"/>
          <w:numId w:val="29"/>
        </w:numPr>
        <w:spacing w:after="0" w:line="240" w:lineRule="auto"/>
        <w:rPr>
          <w:rFonts w:asciiTheme="minorHAnsi" w:hAnsiTheme="minorHAnsi"/>
        </w:rPr>
      </w:pPr>
      <w:r w:rsidRPr="00E430C9">
        <w:rPr>
          <w:rFonts w:asciiTheme="minorHAnsi" w:hAnsiTheme="minorHAnsi"/>
        </w:rPr>
        <w:t>Understand the cyclical nature of improving instruction</w:t>
      </w:r>
    </w:p>
    <w:p w:rsidR="00E430C9" w:rsidRPr="00E430C9" w:rsidRDefault="00E430C9" w:rsidP="00E430C9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</w:rPr>
      </w:pPr>
      <w:r w:rsidRPr="00E430C9">
        <w:rPr>
          <w:rFonts w:asciiTheme="minorHAnsi" w:hAnsiTheme="minorHAnsi"/>
        </w:rPr>
        <w:t>Reflect on how we want our own observation of practice to look</w:t>
      </w:r>
    </w:p>
    <w:p w:rsidR="00E430C9" w:rsidRPr="00E430C9" w:rsidRDefault="00E430C9" w:rsidP="00E430C9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</w:rPr>
      </w:pPr>
      <w:r w:rsidRPr="00E430C9">
        <w:rPr>
          <w:rFonts w:asciiTheme="minorHAnsi" w:hAnsiTheme="minorHAnsi"/>
        </w:rPr>
        <w:t>Determine our purpose for observing our practice</w:t>
      </w:r>
    </w:p>
    <w:p w:rsidR="00C968A1" w:rsidRPr="00E430C9" w:rsidRDefault="00E430C9" w:rsidP="00E430C9">
      <w:pPr>
        <w:pStyle w:val="ListParagraph"/>
        <w:numPr>
          <w:ilvl w:val="0"/>
          <w:numId w:val="31"/>
        </w:numPr>
        <w:spacing w:after="0" w:line="240" w:lineRule="auto"/>
        <w:rPr>
          <w:rFonts w:asciiTheme="minorHAnsi" w:hAnsiTheme="minorHAnsi"/>
        </w:rPr>
      </w:pPr>
      <w:r w:rsidRPr="00E430C9">
        <w:rPr>
          <w:rFonts w:asciiTheme="minorHAnsi" w:hAnsiTheme="minorHAnsi"/>
        </w:rPr>
        <w:t>Create a plan for observing our practice that addresses the five key elements</w:t>
      </w:r>
      <w:r w:rsidR="00C968A1" w:rsidRPr="00E430C9">
        <w:rPr>
          <w:rFonts w:asciiTheme="minorHAnsi" w:hAnsiTheme="minorHAnsi"/>
        </w:rPr>
        <w:tab/>
      </w:r>
    </w:p>
    <w:p w:rsidR="00E430C9" w:rsidRPr="00E430C9" w:rsidRDefault="00E430C9" w:rsidP="00E430C9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:rsidR="0007729A" w:rsidRPr="00AD5A80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AD5A80">
        <w:rPr>
          <w:rFonts w:asciiTheme="minorHAnsi" w:hAnsiTheme="minorHAnsi"/>
          <w:b/>
        </w:rPr>
        <w:t>Read in Advance:</w:t>
      </w:r>
    </w:p>
    <w:p w:rsidR="00C968A1" w:rsidRPr="00C968A1" w:rsidRDefault="00C968A1" w:rsidP="00C968A1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</w:rPr>
      </w:pPr>
      <w:r w:rsidRPr="00C968A1">
        <w:rPr>
          <w:rFonts w:asciiTheme="minorHAnsi" w:hAnsiTheme="minorHAnsi"/>
          <w:i/>
        </w:rPr>
        <w:t xml:space="preserve">Data Wise, </w:t>
      </w:r>
      <w:r w:rsidRPr="00C968A1">
        <w:rPr>
          <w:rFonts w:asciiTheme="minorHAnsi" w:hAnsiTheme="minorHAnsi"/>
        </w:rPr>
        <w:t>pp. 155-176 (BLUE)</w:t>
      </w:r>
    </w:p>
    <w:p w:rsidR="0007729A" w:rsidRPr="00C968A1" w:rsidRDefault="00C968A1" w:rsidP="00C968A1">
      <w:pPr>
        <w:pStyle w:val="ListParagraph"/>
        <w:numPr>
          <w:ilvl w:val="0"/>
          <w:numId w:val="30"/>
        </w:numPr>
        <w:spacing w:after="0" w:line="240" w:lineRule="auto"/>
        <w:rPr>
          <w:rFonts w:asciiTheme="minorHAnsi" w:hAnsiTheme="minorHAnsi"/>
        </w:rPr>
      </w:pPr>
      <w:r w:rsidRPr="00C968A1">
        <w:rPr>
          <w:rFonts w:asciiTheme="minorHAnsi" w:hAnsiTheme="minorHAnsi"/>
          <w:i/>
        </w:rPr>
        <w:t xml:space="preserve">Data Wise in Action, </w:t>
      </w:r>
      <w:r w:rsidRPr="00C968A1">
        <w:rPr>
          <w:rFonts w:asciiTheme="minorHAnsi" w:hAnsiTheme="minorHAnsi"/>
        </w:rPr>
        <w:t>pp. 149-165 (GREEN)</w:t>
      </w:r>
    </w:p>
    <w:p w:rsidR="00C968A1" w:rsidRPr="00C968A1" w:rsidRDefault="00C968A1" w:rsidP="00C968A1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Materials:</w:t>
      </w:r>
    </w:p>
    <w:p w:rsidR="008C169E" w:rsidRDefault="008C169E" w:rsidP="008C169E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Chart paper</w:t>
      </w:r>
      <w:r w:rsidR="00E430C9">
        <w:rPr>
          <w:rFonts w:asciiTheme="minorHAnsi" w:hAnsiTheme="minorHAnsi"/>
        </w:rPr>
        <w:t xml:space="preserve"> (create T chart and label “Plus/Delta”)</w:t>
      </w:r>
    </w:p>
    <w:p w:rsidR="0007729A" w:rsidRPr="0007729A" w:rsidRDefault="0007729A" w:rsidP="0007729A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Markers</w:t>
      </w:r>
    </w:p>
    <w:p w:rsidR="006924D5" w:rsidRDefault="0007729A" w:rsidP="006924D5">
      <w:pPr>
        <w:pStyle w:val="ListParagraph"/>
        <w:numPr>
          <w:ilvl w:val="0"/>
          <w:numId w:val="14"/>
        </w:numPr>
        <w:spacing w:after="0" w:line="240" w:lineRule="auto"/>
        <w:ind w:left="360"/>
        <w:rPr>
          <w:rFonts w:asciiTheme="minorHAnsi" w:hAnsiTheme="minorHAnsi"/>
        </w:rPr>
      </w:pPr>
      <w:r w:rsidRPr="0007729A">
        <w:rPr>
          <w:rFonts w:asciiTheme="minorHAnsi" w:hAnsiTheme="minorHAnsi"/>
        </w:rPr>
        <w:t>Blank paper for each participant</w:t>
      </w:r>
    </w:p>
    <w:p w:rsidR="00E76664" w:rsidRPr="00E76664" w:rsidRDefault="00E76664" w:rsidP="00E76664">
      <w:pPr>
        <w:pStyle w:val="ListParagraph"/>
        <w:numPr>
          <w:ilvl w:val="0"/>
          <w:numId w:val="13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Notes from previous meetings: </w:t>
      </w:r>
      <w:r w:rsidRPr="00E76664">
        <w:rPr>
          <w:rFonts w:asciiTheme="minorHAnsi" w:hAnsiTheme="minorHAnsi"/>
        </w:rPr>
        <w:t>(</w:t>
      </w:r>
      <w:r w:rsidRPr="00E76664">
        <w:rPr>
          <w:rFonts w:asciiTheme="minorHAnsi" w:hAnsiTheme="minorHAnsi"/>
          <w:b/>
          <w:i/>
        </w:rPr>
        <w:t>FOCUS:</w:t>
      </w:r>
      <w:r w:rsidRPr="00E76664">
        <w:rPr>
          <w:rFonts w:asciiTheme="minorHAnsi" w:hAnsiTheme="minorHAnsi"/>
        </w:rPr>
        <w:t xml:space="preserve"> notes from </w:t>
      </w:r>
      <w:r w:rsidRPr="00E76664">
        <w:rPr>
          <w:rFonts w:asciiTheme="minorHAnsi" w:hAnsiTheme="minorHAnsi"/>
          <w:i/>
        </w:rPr>
        <w:t>FOCUS</w:t>
      </w:r>
      <w:r w:rsidRPr="00E76664">
        <w:rPr>
          <w:rFonts w:asciiTheme="minorHAnsi" w:hAnsiTheme="minorHAnsi"/>
        </w:rPr>
        <w:t xml:space="preserve"> video discussion</w:t>
      </w:r>
      <w:r>
        <w:rPr>
          <w:rFonts w:asciiTheme="minorHAnsi" w:hAnsiTheme="minorHAnsi"/>
        </w:rPr>
        <w:t xml:space="preserve"> – meeting 2</w:t>
      </w:r>
      <w:r w:rsidRPr="00E76664">
        <w:rPr>
          <w:rFonts w:asciiTheme="minorHAnsi" w:hAnsiTheme="minorHAnsi"/>
        </w:rPr>
        <w:t xml:space="preserve">; </w:t>
      </w:r>
      <w:r w:rsidRPr="00E76664">
        <w:rPr>
          <w:rFonts w:asciiTheme="minorHAnsi" w:hAnsiTheme="minorHAnsi"/>
          <w:b/>
          <w:i/>
        </w:rPr>
        <w:t>DEBRIEF:</w:t>
      </w:r>
      <w:r w:rsidRPr="00E76664">
        <w:rPr>
          <w:rFonts w:asciiTheme="minorHAnsi" w:hAnsiTheme="minorHAnsi"/>
        </w:rPr>
        <w:t xml:space="preserve"> notes from See/Wonder/Do/Learn protocol</w:t>
      </w:r>
      <w:r>
        <w:rPr>
          <w:rFonts w:asciiTheme="minorHAnsi" w:hAnsiTheme="minorHAnsi"/>
        </w:rPr>
        <w:t xml:space="preserve"> – meeting 3</w:t>
      </w:r>
      <w:r w:rsidRPr="00E76664">
        <w:rPr>
          <w:rFonts w:asciiTheme="minorHAnsi" w:hAnsiTheme="minorHAnsi"/>
        </w:rPr>
        <w:t xml:space="preserve">; </w:t>
      </w:r>
      <w:r w:rsidRPr="00E76664">
        <w:rPr>
          <w:rFonts w:asciiTheme="minorHAnsi" w:hAnsiTheme="minorHAnsi"/>
          <w:b/>
          <w:i/>
        </w:rPr>
        <w:t>FOLLOW UP:</w:t>
      </w:r>
      <w:r w:rsidRPr="00E76664">
        <w:rPr>
          <w:rFonts w:asciiTheme="minorHAnsi" w:hAnsiTheme="minorHAnsi"/>
        </w:rPr>
        <w:t xml:space="preserve"> notes from Plus/Delta chart</w:t>
      </w:r>
      <w:r>
        <w:rPr>
          <w:rFonts w:asciiTheme="minorHAnsi" w:hAnsiTheme="minorHAnsi"/>
        </w:rPr>
        <w:t xml:space="preserve"> – today’s meeting</w:t>
      </w:r>
      <w:r w:rsidRPr="00E76664">
        <w:rPr>
          <w:rFonts w:asciiTheme="minorHAnsi" w:hAnsiTheme="minorHAnsi"/>
        </w:rPr>
        <w:t>)</w:t>
      </w:r>
    </w:p>
    <w:p w:rsidR="006924D5" w:rsidRPr="006924D5" w:rsidRDefault="006924D5" w:rsidP="006924D5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 w:rsidRPr="0007729A">
        <w:rPr>
          <w:rFonts w:asciiTheme="minorHAnsi" w:hAnsiTheme="minorHAnsi"/>
          <w:b/>
        </w:rPr>
        <w:t>Handouts</w:t>
      </w:r>
      <w:r>
        <w:rPr>
          <w:rFonts w:asciiTheme="minorHAnsi" w:hAnsiTheme="minorHAnsi"/>
          <w:b/>
        </w:rPr>
        <w:t xml:space="preserve"> in Notebook</w:t>
      </w:r>
      <w:r w:rsidRPr="0007729A">
        <w:rPr>
          <w:rFonts w:asciiTheme="minorHAnsi" w:hAnsiTheme="minorHAnsi"/>
          <w:b/>
        </w:rPr>
        <w:t>:</w:t>
      </w:r>
    </w:p>
    <w:p w:rsidR="00E67106" w:rsidRDefault="0007729A" w:rsidP="00E67106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07729A">
        <w:rPr>
          <w:rFonts w:asciiTheme="minorHAnsi" w:hAnsiTheme="minorHAnsi"/>
        </w:rPr>
        <w:t>Agenda</w:t>
      </w:r>
    </w:p>
    <w:p w:rsidR="00E76664" w:rsidRDefault="00E76664" w:rsidP="00E67106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Sample Key Elements Blueprint</w:t>
      </w:r>
    </w:p>
    <w:p w:rsidR="00E76664" w:rsidRPr="00E76664" w:rsidRDefault="00E76664" w:rsidP="00E76664">
      <w:pPr>
        <w:pStyle w:val="ListParagraph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Blank Key Elements Blueprint</w:t>
      </w:r>
    </w:p>
    <w:p w:rsidR="0007729A" w:rsidRPr="0007729A" w:rsidRDefault="0007729A" w:rsidP="0007729A">
      <w:pPr>
        <w:spacing w:after="0" w:line="240" w:lineRule="auto"/>
        <w:rPr>
          <w:rFonts w:asciiTheme="minorHAnsi" w:hAnsiTheme="minorHAnsi"/>
          <w:sz w:val="10"/>
          <w:szCs w:val="10"/>
        </w:rPr>
      </w:pPr>
    </w:p>
    <w:p w:rsidR="0007729A" w:rsidRDefault="0007729A" w:rsidP="0007729A">
      <w:p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Roles for this meeting: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Facilitator: </w:t>
      </w:r>
      <w:r w:rsidR="006924D5">
        <w:rPr>
          <w:rFonts w:asciiTheme="minorHAnsi" w:hAnsiTheme="minorHAnsi"/>
        </w:rPr>
        <w:t>ERD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Timekeeper: </w:t>
      </w:r>
      <w:r w:rsidR="006924D5">
        <w:rPr>
          <w:rFonts w:asciiTheme="minorHAnsi" w:hAnsiTheme="minorHAnsi"/>
        </w:rPr>
        <w:t>TBD</w:t>
      </w:r>
    </w:p>
    <w:p w:rsidR="0007729A" w:rsidRPr="0007729A" w:rsidRDefault="0007729A" w:rsidP="0007729A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Recorder: </w:t>
      </w:r>
      <w:r w:rsidR="006924D5">
        <w:rPr>
          <w:rFonts w:asciiTheme="minorHAnsi" w:hAnsiTheme="minorHAnsi"/>
        </w:rPr>
        <w:t>TBD</w:t>
      </w:r>
    </w:p>
    <w:p w:rsidR="002B0400" w:rsidRPr="00E67106" w:rsidRDefault="002B0400" w:rsidP="002740A1">
      <w:pPr>
        <w:pStyle w:val="ColorfulList-Accent11"/>
        <w:spacing w:after="0"/>
        <w:ind w:left="0"/>
        <w:jc w:val="center"/>
        <w:rPr>
          <w:b/>
          <w:bCs/>
          <w:sz w:val="10"/>
          <w:szCs w:val="10"/>
        </w:rPr>
      </w:pPr>
    </w:p>
    <w:p w:rsidR="00C75810" w:rsidRPr="006924D5" w:rsidRDefault="00444E1D" w:rsidP="006924D5">
      <w:pPr>
        <w:pStyle w:val="ColorfulList-Accent11"/>
        <w:spacing w:after="0"/>
        <w:ind w:left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9990" w:type="dxa"/>
        <w:tblInd w:w="108" w:type="dxa"/>
        <w:tblLook w:val="04A0"/>
      </w:tblPr>
      <w:tblGrid>
        <w:gridCol w:w="1038"/>
        <w:gridCol w:w="8952"/>
      </w:tblGrid>
      <w:tr w:rsidR="007839BC" w:rsidTr="006924D5">
        <w:trPr>
          <w:trHeight w:val="1601"/>
        </w:trPr>
        <w:tc>
          <w:tcPr>
            <w:tcW w:w="1038" w:type="dxa"/>
          </w:tcPr>
          <w:p w:rsidR="007839BC" w:rsidRDefault="00E67106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r w:rsidR="007839BC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6924D5" w:rsidRDefault="007839BC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review agenda</w:t>
            </w:r>
          </w:p>
          <w:p w:rsidR="007839BC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</w:t>
            </w:r>
            <w:r w:rsidR="007839BC" w:rsidRPr="006924D5">
              <w:rPr>
                <w:sz w:val="24"/>
                <w:szCs w:val="24"/>
              </w:rPr>
              <w:t>team norm</w:t>
            </w:r>
            <w:r w:rsidR="00E67106">
              <w:rPr>
                <w:sz w:val="24"/>
                <w:szCs w:val="24"/>
              </w:rPr>
              <w:t>s</w:t>
            </w:r>
          </w:p>
          <w:p w:rsid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timekeeper</w:t>
            </w:r>
          </w:p>
          <w:p w:rsidR="006924D5" w:rsidRPr="006924D5" w:rsidRDefault="006924D5" w:rsidP="006924D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choose recorder</w:t>
            </w:r>
          </w:p>
        </w:tc>
      </w:tr>
      <w:tr w:rsidR="007839BC" w:rsidTr="00E430C9">
        <w:trPr>
          <w:trHeight w:val="1430"/>
        </w:trPr>
        <w:tc>
          <w:tcPr>
            <w:tcW w:w="1038" w:type="dxa"/>
          </w:tcPr>
          <w:p w:rsidR="007839BC" w:rsidRDefault="00E430C9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</w:t>
            </w:r>
            <w:r w:rsidR="007839BC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E67106" w:rsidRPr="00821619" w:rsidRDefault="00E67106" w:rsidP="00E67106">
            <w:pPr>
              <w:spacing w:after="0" w:line="240" w:lineRule="auto"/>
              <w:rPr>
                <w:b/>
                <w:i/>
              </w:rPr>
            </w:pPr>
            <w:r w:rsidRPr="00821619">
              <w:rPr>
                <w:b/>
              </w:rPr>
              <w:t>Video</w:t>
            </w:r>
            <w:r w:rsidR="00C968A1" w:rsidRPr="00821619">
              <w:rPr>
                <w:b/>
              </w:rPr>
              <w:t xml:space="preserve">: </w:t>
            </w:r>
            <w:r w:rsidR="00E430C9">
              <w:rPr>
                <w:b/>
                <w:i/>
              </w:rPr>
              <w:t>FOLLOW UP</w:t>
            </w:r>
          </w:p>
          <w:p w:rsidR="00E67106" w:rsidRPr="00821619" w:rsidRDefault="008F35F2" w:rsidP="00E67106">
            <w:pPr>
              <w:spacing w:after="0" w:line="240" w:lineRule="auto"/>
            </w:pPr>
            <w:r w:rsidRPr="00821619">
              <w:t>A</w:t>
            </w:r>
            <w:r w:rsidR="00E67106" w:rsidRPr="00821619">
              <w:t xml:space="preserve">s you watch the video take notes </w:t>
            </w:r>
            <w:r w:rsidR="00E430C9">
              <w:t>on the evidence you find that the fifth-grade team has met (or not met) these objectives:</w:t>
            </w:r>
          </w:p>
          <w:p w:rsidR="00E67106" w:rsidRDefault="00E430C9" w:rsidP="00E67106">
            <w:pPr>
              <w:pStyle w:val="ListParagraph"/>
              <w:numPr>
                <w:ilvl w:val="0"/>
                <w:numId w:val="25"/>
              </w:numPr>
              <w:spacing w:after="0" w:line="240" w:lineRule="auto"/>
            </w:pPr>
            <w:r>
              <w:t>Discuss what was learned during adjustment</w:t>
            </w:r>
          </w:p>
          <w:p w:rsidR="007839BC" w:rsidRPr="00E430C9" w:rsidRDefault="00E430C9" w:rsidP="00E430C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b/>
              </w:rPr>
            </w:pPr>
            <w:r>
              <w:t>Plan future work</w:t>
            </w:r>
          </w:p>
        </w:tc>
      </w:tr>
      <w:tr w:rsidR="00E67106" w:rsidTr="00821619">
        <w:trPr>
          <w:trHeight w:val="620"/>
        </w:trPr>
        <w:tc>
          <w:tcPr>
            <w:tcW w:w="1038" w:type="dxa"/>
          </w:tcPr>
          <w:p w:rsidR="00E67106" w:rsidRDefault="00E430C9" w:rsidP="001A1110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1</w:t>
            </w:r>
            <w:r w:rsidR="008F35F2">
              <w:rPr>
                <w:b/>
                <w:bCs/>
                <w:sz w:val="26"/>
                <w:szCs w:val="26"/>
              </w:rPr>
              <w:t>5</w:t>
            </w:r>
            <w:r w:rsidR="00E67106">
              <w:rPr>
                <w:b/>
                <w:bCs/>
                <w:sz w:val="26"/>
                <w:szCs w:val="26"/>
              </w:rPr>
              <w:t xml:space="preserve"> min</w:t>
            </w:r>
          </w:p>
        </w:tc>
        <w:tc>
          <w:tcPr>
            <w:tcW w:w="8952" w:type="dxa"/>
          </w:tcPr>
          <w:p w:rsidR="00E67106" w:rsidRDefault="00E67106" w:rsidP="001A1110">
            <w:pPr>
              <w:spacing w:after="0" w:line="240" w:lineRule="auto"/>
              <w:rPr>
                <w:bCs/>
              </w:rPr>
            </w:pPr>
            <w:r w:rsidRPr="00821619">
              <w:rPr>
                <w:bCs/>
              </w:rPr>
              <w:t xml:space="preserve">Purpose: </w:t>
            </w:r>
            <w:r w:rsidR="008F35F2" w:rsidRPr="00821619">
              <w:rPr>
                <w:bCs/>
              </w:rPr>
              <w:t xml:space="preserve">To allow </w:t>
            </w:r>
            <w:r w:rsidR="00E430C9">
              <w:rPr>
                <w:bCs/>
              </w:rPr>
              <w:t>you and your colleagues to talk about how they can use what they saw in the videos to help them articulate they want to structure observing practice in their school.</w:t>
            </w:r>
          </w:p>
          <w:p w:rsidR="00E430C9" w:rsidRDefault="00E430C9" w:rsidP="001A1110">
            <w:pPr>
              <w:spacing w:after="0" w:line="240" w:lineRule="auto"/>
              <w:rPr>
                <w:bCs/>
              </w:rPr>
            </w:pPr>
          </w:p>
          <w:p w:rsidR="00E430C9" w:rsidRPr="00821619" w:rsidRDefault="00E430C9" w:rsidP="001A1110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We will be using the Plus/Delta protocol differently than we do typically.</w:t>
            </w:r>
          </w:p>
          <w:p w:rsidR="00E67106" w:rsidRPr="00E430C9" w:rsidRDefault="00E67106" w:rsidP="00E430C9">
            <w:pPr>
              <w:spacing w:after="0" w:line="240" w:lineRule="auto"/>
            </w:pPr>
            <w:r w:rsidRPr="00821619">
              <w:rPr>
                <w:b/>
                <w:bCs/>
              </w:rPr>
              <w:t>Protocol</w:t>
            </w:r>
            <w:r w:rsidRPr="00821619">
              <w:rPr>
                <w:b/>
                <w:bCs/>
              </w:rPr>
              <w:t xml:space="preserve">: </w:t>
            </w:r>
            <w:r w:rsidR="00E430C9">
              <w:rPr>
                <w:b/>
                <w:bCs/>
              </w:rPr>
              <w:t xml:space="preserve">Plus/Delta </w:t>
            </w:r>
            <w:r w:rsidR="00E430C9">
              <w:rPr>
                <w:bCs/>
              </w:rPr>
              <w:t>(use these notes later in this meeting)</w:t>
            </w:r>
          </w:p>
        </w:tc>
      </w:tr>
      <w:tr w:rsidR="00E430C9" w:rsidTr="006924D5">
        <w:trPr>
          <w:trHeight w:val="620"/>
        </w:trPr>
        <w:tc>
          <w:tcPr>
            <w:tcW w:w="1038" w:type="dxa"/>
          </w:tcPr>
          <w:p w:rsidR="00E430C9" w:rsidRDefault="00E430C9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 min</w:t>
            </w:r>
          </w:p>
        </w:tc>
        <w:tc>
          <w:tcPr>
            <w:tcW w:w="8952" w:type="dxa"/>
          </w:tcPr>
          <w:p w:rsidR="00E430C9" w:rsidRDefault="00E430C9" w:rsidP="00702F59">
            <w:pPr>
              <w:spacing w:after="0" w:line="240" w:lineRule="auto"/>
            </w:pPr>
            <w:r>
              <w:t>It is time to start applying what you’ve learned about observing practice to observing instruction in your building.</w:t>
            </w:r>
          </w:p>
          <w:p w:rsidR="00E430C9" w:rsidRDefault="00E430C9" w:rsidP="00702F59">
            <w:pPr>
              <w:spacing w:after="0" w:line="240" w:lineRule="auto"/>
            </w:pPr>
          </w:p>
          <w:p w:rsidR="00E430C9" w:rsidRPr="00E430C9" w:rsidRDefault="00E430C9" w:rsidP="00702F59">
            <w:pPr>
              <w:spacing w:after="0" w:line="240" w:lineRule="auto"/>
            </w:pPr>
            <w:r>
              <w:rPr>
                <w:b/>
              </w:rPr>
              <w:t xml:space="preserve">Review Handout: </w:t>
            </w:r>
            <w:r>
              <w:t>Sample Key Elements Blue Print</w:t>
            </w:r>
          </w:p>
        </w:tc>
      </w:tr>
      <w:tr w:rsidR="00E430C9" w:rsidTr="006924D5">
        <w:trPr>
          <w:trHeight w:val="620"/>
        </w:trPr>
        <w:tc>
          <w:tcPr>
            <w:tcW w:w="1038" w:type="dxa"/>
          </w:tcPr>
          <w:p w:rsidR="00E430C9" w:rsidRDefault="00CD2589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 min</w:t>
            </w:r>
          </w:p>
        </w:tc>
        <w:tc>
          <w:tcPr>
            <w:tcW w:w="8952" w:type="dxa"/>
          </w:tcPr>
          <w:p w:rsidR="00E430C9" w:rsidRDefault="00E430C9" w:rsidP="00702F59">
            <w:pPr>
              <w:spacing w:after="0" w:line="240" w:lineRule="auto"/>
            </w:pPr>
            <w:r>
              <w:t>As you work toward making the process your own, your task will be to fill out a blank blueprint.</w:t>
            </w:r>
          </w:p>
          <w:p w:rsidR="00E430C9" w:rsidRDefault="00E430C9" w:rsidP="00702F59">
            <w:pPr>
              <w:spacing w:after="0" w:line="240" w:lineRule="auto"/>
            </w:pPr>
          </w:p>
          <w:p w:rsidR="00E430C9" w:rsidRPr="00E430C9" w:rsidRDefault="00E430C9" w:rsidP="00702F59">
            <w:pPr>
              <w:spacing w:after="0" w:line="240" w:lineRule="auto"/>
            </w:pPr>
            <w:r>
              <w:rPr>
                <w:b/>
              </w:rPr>
              <w:t>Review and walk through handout:</w:t>
            </w:r>
            <w:r>
              <w:t xml:space="preserve"> </w:t>
            </w:r>
            <w:r w:rsidR="00CD2589">
              <w:t>Blank Key Elements Blueprint</w:t>
            </w:r>
          </w:p>
        </w:tc>
      </w:tr>
      <w:tr w:rsidR="00E430C9" w:rsidTr="006924D5">
        <w:trPr>
          <w:trHeight w:val="620"/>
        </w:trPr>
        <w:tc>
          <w:tcPr>
            <w:tcW w:w="1038" w:type="dxa"/>
          </w:tcPr>
          <w:p w:rsidR="00E430C9" w:rsidRDefault="00CD2589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15 min</w:t>
            </w:r>
          </w:p>
        </w:tc>
        <w:tc>
          <w:tcPr>
            <w:tcW w:w="8952" w:type="dxa"/>
          </w:tcPr>
          <w:p w:rsidR="00E430C9" w:rsidRDefault="00CD2589" w:rsidP="00702F59">
            <w:pPr>
              <w:spacing w:after="0" w:line="240" w:lineRule="auto"/>
            </w:pPr>
            <w:r>
              <w:t>Work with colleagues to plan a time where you will work in teams to complete the Key Elements Blueprint: K-5 principals work as one team; middle school leaders work as one team; high school leaders work in building-based teams.</w:t>
            </w:r>
          </w:p>
          <w:p w:rsidR="00CD2589" w:rsidRDefault="00CD2589" w:rsidP="00702F59">
            <w:pPr>
              <w:spacing w:after="0" w:line="240" w:lineRule="auto"/>
            </w:pPr>
          </w:p>
          <w:p w:rsidR="00CD2589" w:rsidRDefault="00CD2589" w:rsidP="00702F59">
            <w:pPr>
              <w:spacing w:after="0" w:line="240" w:lineRule="auto"/>
            </w:pPr>
            <w:r>
              <w:t xml:space="preserve">You will use the blueprint you create during our </w:t>
            </w:r>
            <w:r>
              <w:rPr>
                <w:i/>
              </w:rPr>
              <w:t>INTERLUDE</w:t>
            </w:r>
            <w:r>
              <w:t xml:space="preserve">: </w:t>
            </w:r>
            <w:r w:rsidRPr="00CD2589">
              <w:rPr>
                <w:i/>
              </w:rPr>
              <w:t>DOING THE WORK</w:t>
            </w:r>
            <w:r>
              <w:t xml:space="preserve"> as you work through at least one round of the Data Wise Process in which you: focus, observe, debrief, adjust, and follow up.</w:t>
            </w:r>
          </w:p>
          <w:p w:rsidR="00CD2589" w:rsidRDefault="00CD2589" w:rsidP="00702F59">
            <w:pPr>
              <w:spacing w:after="0" w:line="240" w:lineRule="auto"/>
            </w:pPr>
          </w:p>
          <w:p w:rsidR="00CD2589" w:rsidRPr="00CD2589" w:rsidRDefault="00CD2589" w:rsidP="00702F59">
            <w:pPr>
              <w:spacing w:after="0" w:line="240" w:lineRule="auto"/>
            </w:pPr>
            <w:r>
              <w:t xml:space="preserve">When we return again in May, you will bring </w:t>
            </w:r>
            <w:r w:rsidRPr="00CD2589">
              <w:rPr>
                <w:b/>
                <w:i/>
                <w:u w:val="single"/>
              </w:rPr>
              <w:t>EVIDENCE</w:t>
            </w:r>
            <w:r>
              <w:rPr>
                <w:b/>
                <w:i/>
                <w:u w:val="single"/>
              </w:rPr>
              <w:t xml:space="preserve"> </w:t>
            </w:r>
            <w:r>
              <w:t>of at least one round in which you focus, observe, debrief, adjust, and follow up.</w:t>
            </w:r>
          </w:p>
        </w:tc>
      </w:tr>
      <w:tr w:rsidR="007839BC" w:rsidTr="006924D5">
        <w:trPr>
          <w:trHeight w:val="620"/>
        </w:trPr>
        <w:tc>
          <w:tcPr>
            <w:tcW w:w="1038" w:type="dxa"/>
          </w:tcPr>
          <w:p w:rsidR="007839BC" w:rsidRDefault="006924D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 min</w:t>
            </w:r>
          </w:p>
        </w:tc>
        <w:tc>
          <w:tcPr>
            <w:tcW w:w="8952" w:type="dxa"/>
          </w:tcPr>
          <w:p w:rsidR="007839BC" w:rsidRPr="00821619" w:rsidRDefault="007839BC" w:rsidP="00702F59">
            <w:pPr>
              <w:spacing w:after="0" w:line="240" w:lineRule="auto"/>
            </w:pPr>
            <w:r w:rsidRPr="00821619">
              <w:t>Looking ahead</w:t>
            </w:r>
          </w:p>
          <w:p w:rsidR="007839BC" w:rsidRPr="00821619" w:rsidRDefault="007839BC" w:rsidP="00702F59">
            <w:pPr>
              <w:spacing w:after="0" w:line="240" w:lineRule="auto"/>
              <w:rPr>
                <w:b/>
              </w:rPr>
            </w:pPr>
            <w:r w:rsidRPr="00821619">
              <w:rPr>
                <w:b/>
              </w:rPr>
              <w:t>Plus/Delta Protocol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2B0400">
      <w:pgSz w:w="12240" w:h="15840"/>
      <w:pgMar w:top="1008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0F72C6"/>
    <w:multiLevelType w:val="hybridMultilevel"/>
    <w:tmpl w:val="A8F67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C70FB7"/>
    <w:multiLevelType w:val="hybridMultilevel"/>
    <w:tmpl w:val="02ACD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F7580E"/>
    <w:multiLevelType w:val="hybridMultilevel"/>
    <w:tmpl w:val="B12C7F1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275FB3"/>
    <w:multiLevelType w:val="hybridMultilevel"/>
    <w:tmpl w:val="5FEA23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621464"/>
    <w:multiLevelType w:val="hybridMultilevel"/>
    <w:tmpl w:val="CCEE5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7C57C9"/>
    <w:multiLevelType w:val="hybridMultilevel"/>
    <w:tmpl w:val="0C602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3AA6997"/>
    <w:multiLevelType w:val="hybridMultilevel"/>
    <w:tmpl w:val="18D2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D445CC"/>
    <w:multiLevelType w:val="hybridMultilevel"/>
    <w:tmpl w:val="A9BC2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0960A9"/>
    <w:multiLevelType w:val="hybridMultilevel"/>
    <w:tmpl w:val="DB607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38F2BAD"/>
    <w:multiLevelType w:val="hybridMultilevel"/>
    <w:tmpl w:val="A9603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390D33"/>
    <w:multiLevelType w:val="hybridMultilevel"/>
    <w:tmpl w:val="FA8697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F9A18B3"/>
    <w:multiLevelType w:val="hybridMultilevel"/>
    <w:tmpl w:val="74F0AB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5"/>
  </w:num>
  <w:num w:numId="5">
    <w:abstractNumId w:val="28"/>
  </w:num>
  <w:num w:numId="6">
    <w:abstractNumId w:val="16"/>
  </w:num>
  <w:num w:numId="7">
    <w:abstractNumId w:val="12"/>
  </w:num>
  <w:num w:numId="8">
    <w:abstractNumId w:val="25"/>
  </w:num>
  <w:num w:numId="9">
    <w:abstractNumId w:val="2"/>
  </w:num>
  <w:num w:numId="10">
    <w:abstractNumId w:val="11"/>
  </w:num>
  <w:num w:numId="11">
    <w:abstractNumId w:val="4"/>
  </w:num>
  <w:num w:numId="12">
    <w:abstractNumId w:val="7"/>
  </w:num>
  <w:num w:numId="13">
    <w:abstractNumId w:val="3"/>
  </w:num>
  <w:num w:numId="14">
    <w:abstractNumId w:val="13"/>
  </w:num>
  <w:num w:numId="15">
    <w:abstractNumId w:val="20"/>
  </w:num>
  <w:num w:numId="16">
    <w:abstractNumId w:val="1"/>
  </w:num>
  <w:num w:numId="17">
    <w:abstractNumId w:val="17"/>
  </w:num>
  <w:num w:numId="18">
    <w:abstractNumId w:val="24"/>
  </w:num>
  <w:num w:numId="19">
    <w:abstractNumId w:val="15"/>
  </w:num>
  <w:num w:numId="20">
    <w:abstractNumId w:val="26"/>
  </w:num>
  <w:num w:numId="21">
    <w:abstractNumId w:val="22"/>
  </w:num>
  <w:num w:numId="22">
    <w:abstractNumId w:val="21"/>
  </w:num>
  <w:num w:numId="23">
    <w:abstractNumId w:val="6"/>
  </w:num>
  <w:num w:numId="24">
    <w:abstractNumId w:val="23"/>
  </w:num>
  <w:num w:numId="25">
    <w:abstractNumId w:val="30"/>
  </w:num>
  <w:num w:numId="26">
    <w:abstractNumId w:val="14"/>
  </w:num>
  <w:num w:numId="27">
    <w:abstractNumId w:val="27"/>
  </w:num>
  <w:num w:numId="28">
    <w:abstractNumId w:val="18"/>
  </w:num>
  <w:num w:numId="29">
    <w:abstractNumId w:val="29"/>
  </w:num>
  <w:num w:numId="30">
    <w:abstractNumId w:val="19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7729A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230F3"/>
    <w:rsid w:val="002528AF"/>
    <w:rsid w:val="00256191"/>
    <w:rsid w:val="00261AEE"/>
    <w:rsid w:val="00262D4E"/>
    <w:rsid w:val="002657F1"/>
    <w:rsid w:val="00272563"/>
    <w:rsid w:val="002740A1"/>
    <w:rsid w:val="002A1BCA"/>
    <w:rsid w:val="002B0400"/>
    <w:rsid w:val="002D5204"/>
    <w:rsid w:val="002E315A"/>
    <w:rsid w:val="002E6A14"/>
    <w:rsid w:val="00302880"/>
    <w:rsid w:val="0031724A"/>
    <w:rsid w:val="00320346"/>
    <w:rsid w:val="00323072"/>
    <w:rsid w:val="003455F3"/>
    <w:rsid w:val="00364AE5"/>
    <w:rsid w:val="003809FC"/>
    <w:rsid w:val="003B6B6E"/>
    <w:rsid w:val="003B785B"/>
    <w:rsid w:val="0042514F"/>
    <w:rsid w:val="004437E4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627B7"/>
    <w:rsid w:val="00674D6E"/>
    <w:rsid w:val="006754F9"/>
    <w:rsid w:val="006821E7"/>
    <w:rsid w:val="00687E8A"/>
    <w:rsid w:val="006924D5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39BC"/>
    <w:rsid w:val="007850FB"/>
    <w:rsid w:val="007B1E2C"/>
    <w:rsid w:val="00803395"/>
    <w:rsid w:val="00821619"/>
    <w:rsid w:val="00832F76"/>
    <w:rsid w:val="008927BA"/>
    <w:rsid w:val="008961E3"/>
    <w:rsid w:val="008A36A2"/>
    <w:rsid w:val="008C169E"/>
    <w:rsid w:val="008D22CA"/>
    <w:rsid w:val="008F1452"/>
    <w:rsid w:val="008F2B9C"/>
    <w:rsid w:val="008F35F2"/>
    <w:rsid w:val="00920817"/>
    <w:rsid w:val="009378BF"/>
    <w:rsid w:val="00942690"/>
    <w:rsid w:val="0095792D"/>
    <w:rsid w:val="00996CBC"/>
    <w:rsid w:val="009B0E89"/>
    <w:rsid w:val="009B18AF"/>
    <w:rsid w:val="00A0146E"/>
    <w:rsid w:val="00A06C87"/>
    <w:rsid w:val="00A4414A"/>
    <w:rsid w:val="00A60369"/>
    <w:rsid w:val="00A830B4"/>
    <w:rsid w:val="00A96957"/>
    <w:rsid w:val="00AB6D51"/>
    <w:rsid w:val="00AC7594"/>
    <w:rsid w:val="00AD5A80"/>
    <w:rsid w:val="00AF65CF"/>
    <w:rsid w:val="00B20902"/>
    <w:rsid w:val="00BA46EA"/>
    <w:rsid w:val="00BA7128"/>
    <w:rsid w:val="00BE6051"/>
    <w:rsid w:val="00C27F31"/>
    <w:rsid w:val="00C30370"/>
    <w:rsid w:val="00C3406E"/>
    <w:rsid w:val="00C75810"/>
    <w:rsid w:val="00C83C60"/>
    <w:rsid w:val="00C968A1"/>
    <w:rsid w:val="00CD2589"/>
    <w:rsid w:val="00CD5364"/>
    <w:rsid w:val="00D25B44"/>
    <w:rsid w:val="00D40353"/>
    <w:rsid w:val="00D904BD"/>
    <w:rsid w:val="00DA07AA"/>
    <w:rsid w:val="00DB746D"/>
    <w:rsid w:val="00DC5C0B"/>
    <w:rsid w:val="00DD6ACA"/>
    <w:rsid w:val="00DE17A2"/>
    <w:rsid w:val="00DE57FF"/>
    <w:rsid w:val="00DF6975"/>
    <w:rsid w:val="00E430C9"/>
    <w:rsid w:val="00E67106"/>
    <w:rsid w:val="00E76664"/>
    <w:rsid w:val="00E912D2"/>
    <w:rsid w:val="00ED0937"/>
    <w:rsid w:val="00ED0C5D"/>
    <w:rsid w:val="00EE02D9"/>
    <w:rsid w:val="00EE3C0B"/>
    <w:rsid w:val="00F02965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2F95-A948-4949-82F4-DCBADDFA4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4</cp:revision>
  <cp:lastPrinted>2011-08-01T15:24:00Z</cp:lastPrinted>
  <dcterms:created xsi:type="dcterms:W3CDTF">2013-09-09T05:11:00Z</dcterms:created>
  <dcterms:modified xsi:type="dcterms:W3CDTF">2013-09-09T05:33:00Z</dcterms:modified>
</cp:coreProperties>
</file>